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C2" w:rsidRDefault="00880D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8365" cy="888365"/>
            <wp:effectExtent l="0" t="0" r="6985" b="6985"/>
            <wp:docPr id="3" name="Рисунок 3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C2" w:rsidRDefault="00880D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1678C2" w:rsidRDefault="00880D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 – консультационный учебный центр</w:t>
      </w:r>
    </w:p>
    <w:p w:rsidR="001678C2" w:rsidRDefault="00880D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1678C2" w:rsidRDefault="00880D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678C2" w:rsidRDefault="00880D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«ИКУЦ ДПО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 w:rsidR="001678C2" w:rsidRDefault="00880DD7">
      <w:pPr>
        <w:pStyle w:val="a5"/>
        <w:rPr>
          <w:rFonts w:eastAsia="Batang"/>
          <w:sz w:val="24"/>
          <w:szCs w:val="24"/>
        </w:rPr>
      </w:pPr>
      <w:r>
        <w:rPr>
          <w:rFonts w:eastAsia="Batang"/>
          <w:sz w:val="20"/>
        </w:rPr>
        <w:t xml:space="preserve">г. Мурманск, ул. Капитана Егорова, д. 14, оф. 229; Тел./факс: 8(8152) </w:t>
      </w:r>
      <w:r>
        <w:rPr>
          <w:rFonts w:eastAsia="Batang"/>
          <w:sz w:val="20"/>
        </w:rPr>
        <w:t>25-72-73</w:t>
      </w:r>
    </w:p>
    <w:p w:rsidR="001678C2" w:rsidRDefault="001678C2">
      <w:pPr>
        <w:pStyle w:val="a5"/>
        <w:rPr>
          <w:rFonts w:eastAsia="Batang"/>
          <w:sz w:val="24"/>
          <w:szCs w:val="24"/>
        </w:rPr>
      </w:pPr>
    </w:p>
    <w:p w:rsidR="001678C2" w:rsidRDefault="00880DD7">
      <w:pPr>
        <w:pStyle w:val="a5"/>
        <w:rPr>
          <w:rFonts w:eastAsia="Batang"/>
          <w:sz w:val="24"/>
          <w:szCs w:val="24"/>
        </w:rPr>
      </w:pPr>
      <w:r>
        <w:rPr>
          <w:rFonts w:eastAsia="Batang"/>
          <w:b/>
          <w:szCs w:val="28"/>
        </w:rPr>
        <w:t xml:space="preserve">Информация для </w:t>
      </w:r>
      <w:proofErr w:type="gramStart"/>
      <w:r>
        <w:rPr>
          <w:rFonts w:eastAsia="Batang"/>
          <w:b/>
          <w:szCs w:val="28"/>
        </w:rPr>
        <w:t>обучающихся</w:t>
      </w:r>
      <w:proofErr w:type="gramEnd"/>
    </w:p>
    <w:p w:rsidR="001678C2" w:rsidRDefault="001678C2">
      <w:pPr>
        <w:pStyle w:val="a5"/>
        <w:ind w:firstLine="709"/>
        <w:rPr>
          <w:rFonts w:eastAsia="Batang"/>
          <w:sz w:val="24"/>
          <w:szCs w:val="24"/>
        </w:rPr>
      </w:pPr>
    </w:p>
    <w:p w:rsidR="001678C2" w:rsidRDefault="00880DD7">
      <w:pPr>
        <w:pStyle w:val="a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Планирование боевых действий и основных</w:t>
      </w:r>
      <w:r>
        <w:rPr>
          <w:b/>
          <w:bCs/>
          <w:color w:val="000000"/>
          <w:sz w:val="24"/>
          <w:szCs w:val="24"/>
        </w:rPr>
        <w:t xml:space="preserve"> тактических</w:t>
      </w:r>
      <w:r>
        <w:rPr>
          <w:b/>
          <w:bCs/>
          <w:color w:val="000000"/>
          <w:sz w:val="24"/>
          <w:szCs w:val="24"/>
        </w:rPr>
        <w:t xml:space="preserve"> приемов</w:t>
      </w:r>
      <w:r>
        <w:rPr>
          <w:b/>
          <w:bCs/>
          <w:color w:val="000000"/>
          <w:sz w:val="24"/>
          <w:szCs w:val="24"/>
        </w:rPr>
        <w:t xml:space="preserve"> тушения пожаров на объектах хранения и переработки сжиженного углеродного газа</w:t>
      </w:r>
    </w:p>
    <w:p w:rsidR="001678C2" w:rsidRDefault="001678C2">
      <w:pPr>
        <w:pStyle w:val="a5"/>
        <w:jc w:val="both"/>
        <w:rPr>
          <w:b/>
          <w:bCs/>
          <w:color w:val="000000"/>
          <w:sz w:val="24"/>
          <w:szCs w:val="24"/>
        </w:rPr>
      </w:pP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объектов хранения и переработки СУГ в обязательном порядке разрабатываются </w:t>
      </w:r>
      <w:r>
        <w:rPr>
          <w:color w:val="000000"/>
          <w:sz w:val="24"/>
          <w:szCs w:val="24"/>
        </w:rPr>
        <w:t>план ликвидации аварии и оперативный план пожаротушения. При возникновении аварии руководство ее ликвидацией осуществляет комиссия по чрезвычайным ситуациям (КЧС) предприятия (или созданный на месте аварии штаб ликвидации аварии), возглавляемая руководител</w:t>
      </w:r>
      <w:r>
        <w:rPr>
          <w:color w:val="000000"/>
          <w:sz w:val="24"/>
          <w:szCs w:val="24"/>
        </w:rPr>
        <w:t xml:space="preserve">ем предприятия или главным инженером. Работы ведутся </w:t>
      </w:r>
      <w:proofErr w:type="spellStart"/>
      <w:r>
        <w:rPr>
          <w:color w:val="000000"/>
          <w:sz w:val="24"/>
          <w:szCs w:val="24"/>
        </w:rPr>
        <w:t>газоаварийной</w:t>
      </w:r>
      <w:proofErr w:type="spellEnd"/>
      <w:r>
        <w:rPr>
          <w:color w:val="000000"/>
          <w:sz w:val="24"/>
          <w:szCs w:val="24"/>
        </w:rPr>
        <w:t xml:space="preserve"> службой, а также техническим персоналом объекта. Для противопожарного обеспечения привлекаются подразделения ГПС. Старшее должностное лицо подразделения ГПС входит в состав штаба по ликвида</w:t>
      </w:r>
      <w:r>
        <w:rPr>
          <w:color w:val="000000"/>
          <w:sz w:val="24"/>
          <w:szCs w:val="24"/>
        </w:rPr>
        <w:t>ции аварии и отвечает за возложенные на него обязанности.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возникновении пожара старшее должностное лицо ГПС берет руководство по</w:t>
      </w:r>
      <w:r>
        <w:rPr>
          <w:color w:val="000000"/>
          <w:sz w:val="24"/>
          <w:szCs w:val="24"/>
        </w:rPr>
        <w:br/>
        <w:t>ликвидации пожара на себя и действует в соответствии со складывающейся обстановкой,</w:t>
      </w:r>
      <w:r>
        <w:rPr>
          <w:color w:val="000000"/>
          <w:sz w:val="24"/>
          <w:szCs w:val="24"/>
        </w:rPr>
        <w:br/>
        <w:t xml:space="preserve">решениями и рекомендациями КЧС (штаба) </w:t>
      </w:r>
      <w:r>
        <w:rPr>
          <w:color w:val="000000"/>
          <w:sz w:val="24"/>
          <w:szCs w:val="24"/>
        </w:rPr>
        <w:t>по ликвидации аварии, планом пожаротушения, БУПО и настоящими рекомендациями.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всех случаях по прибытии подразделений ГПС к месту вызова (аварии или возникшего пожара) при проведении разведки необходимо установить: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наличие на месте аварии КЧС (штаба по</w:t>
      </w:r>
      <w:r>
        <w:rPr>
          <w:color w:val="000000"/>
          <w:sz w:val="24"/>
          <w:szCs w:val="24"/>
        </w:rPr>
        <w:t xml:space="preserve"> ликвидации аварии) и принятые меры по локализации аварии и защите людей;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количество и местонахождение людей в зоне аварии, пути их эвакуации;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характер повреждения аварийного и соседних резервуаров, технологических   коммуникаций и опасность дальнейшег</w:t>
      </w:r>
      <w:r>
        <w:rPr>
          <w:color w:val="000000"/>
          <w:sz w:val="24"/>
          <w:szCs w:val="24"/>
        </w:rPr>
        <w:t>о развития аварии;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объем аварийного аппарата или резервуара, вид и форму истекающего продукта, наличие угрозы взрывов и отравлений, способы защиты личного состава;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примерное время возможного разрыва (взрыва) горящего и соседних резервуаров в результате</w:t>
      </w:r>
      <w:r>
        <w:rPr>
          <w:color w:val="000000"/>
          <w:sz w:val="24"/>
          <w:szCs w:val="24"/>
        </w:rPr>
        <w:t xml:space="preserve"> воздействия пламени и теплового излучения;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пути и скорость распространения выходящего из аварийных резервуаров и коммуникаций </w:t>
      </w:r>
      <w:proofErr w:type="spellStart"/>
      <w:r>
        <w:rPr>
          <w:color w:val="000000"/>
          <w:sz w:val="24"/>
          <w:szCs w:val="24"/>
        </w:rPr>
        <w:t>негорящего</w:t>
      </w:r>
      <w:proofErr w:type="spellEnd"/>
      <w:r>
        <w:rPr>
          <w:color w:val="000000"/>
          <w:sz w:val="24"/>
          <w:szCs w:val="24"/>
        </w:rPr>
        <w:t xml:space="preserve"> газа для определения зоны загазованности и степени опасности;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состояние противопожарного водоснабжения, возможност</w:t>
      </w:r>
      <w:r>
        <w:rPr>
          <w:color w:val="000000"/>
          <w:sz w:val="24"/>
          <w:szCs w:val="24"/>
        </w:rPr>
        <w:t>ь его использования для "питания" лафетных стволов с насадками типа НРТ, РВ;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наличие и состояние обвалования, вероятность угрозы смежным сооружениям в случае разрушения аварийной емкости и полного выхода продукта, пути возможного растекания.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Первоочередн</w:t>
      </w:r>
      <w:r>
        <w:rPr>
          <w:color w:val="000000"/>
          <w:sz w:val="24"/>
          <w:szCs w:val="24"/>
        </w:rPr>
        <w:t>ой задачей РТП и подразделений ГПС является локализация горения СУГ и создание безопасных условий для выгорания продукта. Для этого необходимо: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принять неотложные меры по прекращению подачи продукта в аварийный участок,</w:t>
      </w:r>
      <w:r>
        <w:rPr>
          <w:color w:val="000000"/>
          <w:sz w:val="24"/>
          <w:szCs w:val="24"/>
        </w:rPr>
        <w:br/>
        <w:t>перекрытию подводящих к нему трубопр</w:t>
      </w:r>
      <w:r>
        <w:rPr>
          <w:color w:val="000000"/>
          <w:sz w:val="24"/>
          <w:szCs w:val="24"/>
        </w:rPr>
        <w:t xml:space="preserve">оводов, а также по сливу или перекачке продукта из аварийной емкости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резервные.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Решение о необходимости последнего мероприятия РТП принимает только после консультации с техническим персоналом объекта;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ограничить площадь пролива, создавая заградительные валы из песка, земли, гравия. 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этом одновременно обеспечивается подача стволов для охлаждения оборудования, не защищенного стационарными системами;  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обеспечить бесперебойную подачу огнетушащих ве</w:t>
      </w:r>
      <w:r>
        <w:rPr>
          <w:color w:val="000000"/>
          <w:sz w:val="24"/>
          <w:szCs w:val="24"/>
        </w:rPr>
        <w:t xml:space="preserve">ществ в зону горения для снижения теплового излучения, а также работу стационарных систем тепловой защиты соседних резервуаров и сооружений, уделяя особое внимание защите запорной арматуры и фланцевых соединений; 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перекрыть на месте аварии проезд всех ви</w:t>
      </w:r>
      <w:r>
        <w:rPr>
          <w:color w:val="000000"/>
          <w:sz w:val="24"/>
          <w:szCs w:val="24"/>
        </w:rPr>
        <w:t xml:space="preserve">дов транспорта, прекратить все работы с применением открытого огня для предотвращения взрыва </w:t>
      </w:r>
      <w:proofErr w:type="spellStart"/>
      <w:r>
        <w:rPr>
          <w:color w:val="000000"/>
          <w:sz w:val="24"/>
          <w:szCs w:val="24"/>
        </w:rPr>
        <w:t>газовоздушных</w:t>
      </w:r>
      <w:proofErr w:type="spellEnd"/>
      <w:r>
        <w:rPr>
          <w:color w:val="000000"/>
          <w:sz w:val="24"/>
          <w:szCs w:val="24"/>
        </w:rPr>
        <w:t xml:space="preserve"> смесей;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 обесточить электрооборудование или перевести его в аварийный режим;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организовать постоянное наблюдение за обстановкой в местах возможной разгерметизации технологического оборудования с выбросом СУГ, а также на путях возможного перемещения </w:t>
      </w:r>
      <w:proofErr w:type="spellStart"/>
      <w:r>
        <w:rPr>
          <w:color w:val="000000"/>
          <w:sz w:val="24"/>
          <w:szCs w:val="24"/>
        </w:rPr>
        <w:t>газовоздушного</w:t>
      </w:r>
      <w:proofErr w:type="spellEnd"/>
      <w:r>
        <w:rPr>
          <w:color w:val="000000"/>
          <w:sz w:val="24"/>
          <w:szCs w:val="24"/>
        </w:rPr>
        <w:t xml:space="preserve"> облака. 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обеспечения мер безопасности, исключающих образование</w:t>
      </w:r>
      <w:r>
        <w:rPr>
          <w:color w:val="000000"/>
          <w:sz w:val="24"/>
          <w:szCs w:val="24"/>
        </w:rPr>
        <w:t xml:space="preserve"> зон взрывоопасных концентраций паров продукта с воздухом и повторное воспламенение, при создании критической обстановки, способной привести к катастрофе или стихийному  развитию пожара, а также после выяснения вида и </w:t>
      </w:r>
      <w:proofErr w:type="gramStart"/>
      <w:r>
        <w:rPr>
          <w:color w:val="000000"/>
          <w:sz w:val="24"/>
          <w:szCs w:val="24"/>
        </w:rPr>
        <w:t>количества</w:t>
      </w:r>
      <w:proofErr w:type="gramEnd"/>
      <w:r>
        <w:rPr>
          <w:color w:val="000000"/>
          <w:sz w:val="24"/>
          <w:szCs w:val="24"/>
        </w:rPr>
        <w:t xml:space="preserve"> имеющихся на объекте огнету</w:t>
      </w:r>
      <w:r>
        <w:rPr>
          <w:color w:val="000000"/>
          <w:sz w:val="24"/>
          <w:szCs w:val="24"/>
        </w:rPr>
        <w:t>шащих средств (возможность их доставки с других объектов) РТП, консультируясь со службами и специалистами объекта, принимает решение о целесообразности и возможности полной ликвидации горения.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тушения пожаров СУГ могут быть использованы следующие огнет</w:t>
      </w:r>
      <w:r>
        <w:rPr>
          <w:color w:val="000000"/>
          <w:sz w:val="24"/>
          <w:szCs w:val="24"/>
        </w:rPr>
        <w:t>ушащие вещества: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порошки, газообразный и жидкий азот, газообразная и жидкая двуокись углерода, инертные газы (Не, </w:t>
      </w:r>
      <w:proofErr w:type="spellStart"/>
      <w:r>
        <w:rPr>
          <w:color w:val="000000"/>
          <w:sz w:val="24"/>
          <w:szCs w:val="24"/>
        </w:rPr>
        <w:t>А</w:t>
      </w:r>
      <w:proofErr w:type="gramStart"/>
      <w:r>
        <w:rPr>
          <w:color w:val="000000"/>
          <w:sz w:val="24"/>
          <w:szCs w:val="24"/>
        </w:rPr>
        <w:t>r</w:t>
      </w:r>
      <w:proofErr w:type="spellEnd"/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Кr</w:t>
      </w:r>
      <w:proofErr w:type="spellEnd"/>
      <w:r>
        <w:rPr>
          <w:color w:val="000000"/>
          <w:sz w:val="24"/>
          <w:szCs w:val="24"/>
        </w:rPr>
        <w:t>), хладоны, распыленная вода, водяной пар, воздушно-механическая пена средней кратности на основе специальных синтетических  пленкообр</w:t>
      </w:r>
      <w:r>
        <w:rPr>
          <w:color w:val="000000"/>
          <w:sz w:val="24"/>
          <w:szCs w:val="24"/>
        </w:rPr>
        <w:t xml:space="preserve">азующих пенообразователей. 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не исключено применение комбинированных составов из этих веществ.</w:t>
      </w:r>
    </w:p>
    <w:p w:rsidR="001678C2" w:rsidRDefault="00880DD7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Выбор способа тушения определяется, в первую очередь, характером и условиями процесса горения. </w:t>
      </w:r>
      <w:bookmarkStart w:id="0" w:name="_GoBack"/>
      <w:bookmarkEnd w:id="0"/>
    </w:p>
    <w:sectPr w:rsidR="0016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C2"/>
    <w:rsid w:val="001678C2"/>
    <w:rsid w:val="008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Шульженко</dc:creator>
  <cp:keywords/>
  <dc:description/>
  <cp:lastModifiedBy>Анжелика</cp:lastModifiedBy>
  <cp:revision>10</cp:revision>
  <dcterms:created xsi:type="dcterms:W3CDTF">2024-03-29T06:43:00Z</dcterms:created>
  <dcterms:modified xsi:type="dcterms:W3CDTF">2024-03-29T12:41:00Z</dcterms:modified>
</cp:coreProperties>
</file>